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COMPROBACIÓN DE CUÓRUM, LECTURA Y APROBACIÓN DEL ORDEN DEL DÍA. </w:t>
      </w:r>
    </w:p>
    <w:p w:rsidR="00000000" w:rsidDel="00000000" w:rsidP="00000000" w:rsidRDefault="00000000" w:rsidRPr="00000000" w14:paraId="00000002">
      <w:pPr>
        <w:ind w:left="56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APROBACIÓN DE ACTAS ANTERIORES: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Acta N.° 15-2021, de la sesión ordinaria del miércoles 12 de mayo de 2021.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Acta N.° 16-2021, de la sesión ordinaria del miércoles 19 de mayo de 2021.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Acta N.° 7-2021, de la sesión extraordinaria del viernes 7 de mayo de 2021.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Acta N.° 8-2021, de la sesión extraordinaria del viernes 21 de mayo de 2021.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Acta N.° 9-2021, de la sesión extraordinaria del miércoles 26 de mayo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Informe del señor rector.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Conformación de Comisiones (inclusión de la Dra. Marta Georgina Sánchez López, Decana de la Facultad de Ciencias Sociales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Nombramiento de un representante de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Consaca</w:t>
      </w:r>
      <w:r w:rsidDel="00000000" w:rsidR="00000000" w:rsidRPr="00000000">
        <w:rPr>
          <w:rFonts w:ascii="Arial" w:cs="Arial" w:eastAsia="Arial" w:hAnsi="Arial"/>
          <w:rtl w:val="0"/>
        </w:rPr>
        <w:t xml:space="preserve"> ante la Junta Administrativa de la Fundauna.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DICTÁMENES: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UNA-CPPPAA-CONSACA-DICT-018-2021.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Propuesta de un transitorio al numeral 2 de los lineamientos para el Fondo de Fortalecimiento y Renovación Académica para el año 2021.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dejó presentado el 26 de mayo de 2021)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UNA-CPGC-CONSACA-DICT-008-2021.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Respuesta audiencia escrita solicitada por la Comisión de Asuntos Académicos y Estudiantiles del Consejo Universitario con el oficio UNA-CAAE-SCU-OFIC-022-2021, del 10 de mayo de 2021, sobre Reforma Integral del Reglamento al Artículo 30 del Convenio de Coordinación de la Educación Superior Universitaria Estatal de Costa 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134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Pruebas Faro, CIDE, Permanencia de estudiantes en las Escuelas, CIDE.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567" w:hanging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AUDIENCIAS: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Distribución de horas estudiante II Ciclo 2021, Área de Planificación Económica. 11:00 a.m.</w:t>
      </w:r>
    </w:p>
    <w:p w:rsidR="00000000" w:rsidDel="00000000" w:rsidP="00000000" w:rsidRDefault="00000000" w:rsidRPr="00000000" w14:paraId="0000001B">
      <w:pPr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220" w:hRule="atLeast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extraordinaria:  TEMA:  Reglamento PPAA.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a 5:00 p.m.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0CA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0D4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0D6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</w:t>
    </w: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Consaca</w:t>
    </w: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1270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5123851</wp:posOffset>
          </wp:positionH>
          <wp:positionV relativeFrom="paragraph">
            <wp:posOffset>8789</wp:posOffset>
          </wp:positionV>
          <wp:extent cx="1409781" cy="777700"/>
          <wp:effectExtent b="0" l="0" r="0" t="0"/>
          <wp:wrapNone/>
          <wp:docPr descr="https://agd.una.ac.cr/share/proxy/alfresco-noauth/api/internal/shared/node/trrI2YLYTp2Fzcbbb7kaVQ/content/thumbnails/imgpreview?c=force&amp;lastModified=imgpreview%3A1612533369039" id="15" name="image1.jpg"/>
          <a:graphic>
            <a:graphicData uri="http://schemas.openxmlformats.org/drawingml/2006/picture">
              <pic:pic>
                <pic:nvPicPr>
                  <pic:cNvPr descr="https://agd.una.ac.cr/share/proxy/alfresco-noauth/api/internal/shared/node/trrI2YLYTp2Fzcbbb7kaVQ/content/thumbnails/imgpreview?c=force&amp;lastModified=imgpreview%3A1612533369039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81" cy="777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18-202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2"/>
    <w:bookmarkEnd w:id="2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2 de junio de 2021</w:t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12:30pm</w:t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 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720" w:hanging="360"/>
      </w:pPr>
      <w:rPr>
        <w:rFonts w:ascii="Arial" w:cs="Arial" w:eastAsia="Arial" w:hAnsi="Arial"/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771" w:hanging="360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87B92"/>
    <w:rPr>
      <w:color w:val="605e5c"/>
      <w:shd w:color="auto" w:fill="e1dfdd" w:val="clear"/>
    </w:r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0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AE0DB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E0D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0DB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0DBE"/>
    <w:rPr>
      <w:b w:val="1"/>
      <w:bCs w:val="1"/>
      <w:sz w:val="20"/>
      <w:szCs w:val="20"/>
    </w:r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vpkuqpipx6wDhXmJGxu5OdqFg==">AMUW2mUL/7utuoZVRBvJqzcmQfTdwqW4Wkv8P+rJIu9MHFZp1S9+S1dct2HSTHepPR11bTI5lU61biOmS1jyU+JlkjgE3n8mVjcbpeFn557R1OEBdwh8zn4J+pLCGhIUAbkPUyZ+y7kPIrLEXDdDxi2udnPS1jKxCg==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2021-06-01T15:55:00Z</dcterms:created>
  <dc:creator>UNA</dc:creator>
</cp:coreProperties>
</file>